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b/>
          <w:bCs w:val="false"/>
          <w:sz w:val="24"/>
          <w:szCs w:val="24"/>
          <w:lang w:val="pt-BR"/>
        </w:rPr>
      </w:pPr>
      <w:r>
        <w:rPr/>
      </w:r>
    </w:p>
    <w:p>
      <w:pPr>
        <w:pStyle w:val="Normal"/>
        <w:ind w:hanging="0"/>
        <w:jc w:val="center"/>
        <w:rPr>
          <w:b/>
          <w:bCs w:val="false"/>
          <w:sz w:val="24"/>
          <w:szCs w:val="24"/>
          <w:lang w:val="pt-BR"/>
        </w:rPr>
      </w:pPr>
      <w:r>
        <w:rPr>
          <w:b/>
          <w:bCs w:val="false"/>
          <w:sz w:val="24"/>
          <w:szCs w:val="24"/>
          <w:lang w:val="pt-BR"/>
        </w:rPr>
        <w:t>COMUNICADO DE INAPTIDÃO PARA CONTRATAÇÃO Nº 01/2025</w:t>
      </w:r>
    </w:p>
    <w:p>
      <w:pPr>
        <w:pStyle w:val="Normal"/>
        <w:ind w:hanging="0"/>
        <w:jc w:val="center"/>
        <w:rPr>
          <w:b/>
          <w:bCs w:val="false"/>
          <w:sz w:val="24"/>
          <w:szCs w:val="24"/>
          <w:lang w:val="pt-BR"/>
        </w:rPr>
      </w:pPr>
      <w:r>
        <w:rPr>
          <w:b/>
          <w:bCs w:val="false"/>
          <w:sz w:val="24"/>
          <w:szCs w:val="24"/>
          <w:lang w:val="pt-BR"/>
        </w:rPr>
        <w:t>PROCESSO SELETIVO PÚBLICO Nº 01/2025</w:t>
      </w:r>
    </w:p>
    <w:p>
      <w:pPr>
        <w:pStyle w:val="Normal"/>
        <w:ind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hanging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O Município de Sant’Ana do Livramento, por meio da Comissão para Elaboração de Processo Seletivo Público e da Diretoria de Serviços de Pessoal, no uso de suas atribuições legais e com base no disposto no Edital Nº 01/2024, torna pública a </w:t>
      </w:r>
      <w:r>
        <w:rPr>
          <w:b/>
          <w:bCs/>
          <w:i/>
          <w:iCs/>
          <w:sz w:val="22"/>
          <w:szCs w:val="22"/>
          <w:lang w:val="pt-BR"/>
        </w:rPr>
        <w:t>inaptidão para contratação dos candidatos abaixo relacionados</w:t>
      </w:r>
      <w:r>
        <w:rPr>
          <w:sz w:val="22"/>
          <w:szCs w:val="22"/>
          <w:lang w:val="pt-BR"/>
        </w:rPr>
        <w:t>, ainda que aprovados nas etapas do certame, pelos motivos que seguem:</w:t>
      </w:r>
    </w:p>
    <w:p>
      <w:pPr>
        <w:pStyle w:val="Normal"/>
        <w:ind w:hanging="0"/>
        <w:rPr>
          <w:sz w:val="12"/>
          <w:szCs w:val="12"/>
          <w:lang w:val="pt-BR"/>
        </w:rPr>
      </w:pPr>
      <w:r>
        <w:rPr>
          <w:sz w:val="12"/>
          <w:szCs w:val="12"/>
          <w:lang w:val="pt-BR"/>
        </w:rPr>
      </w:r>
    </w:p>
    <w:p>
      <w:pPr>
        <w:pStyle w:val="Normal"/>
        <w:numPr>
          <w:ilvl w:val="0"/>
          <w:numId w:val="1"/>
        </w:numPr>
        <w:ind w:hanging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FUNDAMENTAÇÃ</w:t>
      </w:r>
      <w:r>
        <w:rPr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 xml:space="preserve"> LEGAL: </w:t>
      </w:r>
    </w:p>
    <w:p>
      <w:pPr>
        <w:pStyle w:val="Normal"/>
        <w:ind w:hanging="0"/>
        <w:rPr>
          <w:color w:themeColor="text1" w:val="000000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Nos termo do item 4.1, alínea “f” do Edital Nº 01/2024, é requisito essencial para o exer</w:t>
      </w:r>
      <w:r>
        <w:rPr>
          <w:color w:themeColor="text1" w:val="000000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color w:themeColor="text1" w:val="000000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ício do cargo de Agente Comunitário de Saúde:</w:t>
      </w:r>
    </w:p>
    <w:p>
      <w:pPr>
        <w:pStyle w:val="Normal"/>
        <w:ind w:hanging="0"/>
        <w:rPr>
          <w:color w:themeColor="text1" w:val="000000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10"/>
          <w:szCs w:val="10"/>
          <w:lang w:val="pt-BR"/>
          <w14:textFill>
            <w14:solidFill>
              <w14:schemeClr w14:val="tx1"/>
            </w14:solidFill>
          </w14:textFill>
        </w:rPr>
      </w:r>
    </w:p>
    <w:p>
      <w:pPr>
        <w:pStyle w:val="Normal"/>
        <w:ind w:hanging="0"/>
        <w:rPr>
          <w:b/>
          <w:bCs/>
          <w:i/>
          <w:i/>
          <w:iCs/>
          <w:color w:themeColor="text1" w:val="000000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b/>
          <w:bCs/>
          <w:i/>
          <w:iCs/>
          <w:color w:themeColor="text1" w:val="000000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“</w:t>
      </w:r>
      <w:r>
        <w:rPr>
          <w:b/>
          <w:bCs/>
          <w:i/>
          <w:iCs/>
          <w:color w:themeColor="text1" w:val="000000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Residir na área de atuação, desde a data da publicação do presente Edital.”</w:t>
      </w:r>
    </w:p>
    <w:p>
      <w:pPr>
        <w:pStyle w:val="Normal"/>
        <w:ind w:hanging="0"/>
        <w:rPr>
          <w:color w:themeColor="text1" w:val="000000"/>
          <w:sz w:val="10"/>
          <w:szCs w:val="10"/>
          <w:lang w:val="pt-BR" w:eastAsia="zh-CN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10"/>
          <w:szCs w:val="10"/>
          <w:lang w:val="pt-BR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ind w:hanging="0"/>
        <w:rPr>
          <w:b/>
          <w:bCs/>
          <w:i/>
          <w:i/>
          <w:iCs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  <w:t xml:space="preserve">A Comissão responsável realizou </w:t>
      </w:r>
      <w:r>
        <w:rPr>
          <w:b/>
          <w:bCs/>
          <w:i/>
          <w:iCs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  <w:t>verificação in loco</w:t>
      </w:r>
      <w:r>
        <w:rPr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  <w:t xml:space="preserve">, constatando que os candidatos listados </w:t>
      </w:r>
      <w:r>
        <w:rPr>
          <w:b/>
          <w:bCs/>
          <w:i/>
          <w:iCs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  <w:t>não residiam na área de atuação desde a data de publicação do Edital (09/10/2024)</w:t>
      </w:r>
      <w:r>
        <w:rPr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  <w:t xml:space="preserve">, o que configura descumprimento do requisito obrigatório, tornando-os, portanto, </w:t>
      </w:r>
      <w:r>
        <w:rPr>
          <w:b/>
          <w:bCs/>
          <w:i/>
          <w:iCs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  <w:t>inaptos para contratação.</w:t>
      </w:r>
    </w:p>
    <w:p>
      <w:pPr>
        <w:pStyle w:val="Normal"/>
        <w:ind w:hanging="0"/>
        <w:rPr>
          <w:b/>
          <w:bCs/>
          <w:i/>
          <w:i/>
          <w:iCs/>
          <w:color w:themeColor="text1" w:val="000000"/>
          <w:sz w:val="12"/>
          <w:szCs w:val="12"/>
          <w:lang w:val="pt-BR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/>
          <w:iCs/>
          <w:color w:themeColor="text1" w:val="000000"/>
          <w:sz w:val="12"/>
          <w:szCs w:val="12"/>
          <w:lang w:val="pt-BR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1"/>
        </w:numPr>
        <w:ind w:hanging="0" w:left="0"/>
        <w:rPr>
          <w:b w:val="false"/>
          <w:bCs w:val="false"/>
          <w:i w:val="false"/>
          <w:i w:val="false"/>
          <w:iCs w:val="false"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</w:pPr>
      <w:r>
        <w:rPr>
          <w:b w:val="false"/>
          <w:bCs w:val="false"/>
          <w:i w:val="false"/>
          <w:iCs w:val="false"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  <w:t>RELAÇÃO DE CANDIDATOS INAPTOS</w:t>
      </w:r>
    </w:p>
    <w:tbl>
      <w:tblPr>
        <w:tblStyle w:val="18"/>
        <w:tblW w:w="98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310"/>
        <w:gridCol w:w="1996"/>
        <w:gridCol w:w="1664"/>
        <w:gridCol w:w="2311"/>
      </w:tblGrid>
      <w:tr>
        <w:trPr/>
        <w:tc>
          <w:tcPr>
            <w:tcW w:w="157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/>
                <w:bCs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Nº Inscrição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/>
                <w:bCs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Nome do Candidato</w:t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/>
                <w:bCs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Emprego Público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/>
                <w:bCs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Área de Inscriçã</w:t>
            </w:r>
            <w:bookmarkStart w:id="0" w:name="_GoBack"/>
            <w:bookmarkEnd w:id="0"/>
            <w:r>
              <w:rPr>
                <w:b/>
                <w:bCs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231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/>
                <w:bCs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Motivo</w:t>
            </w:r>
          </w:p>
        </w:tc>
      </w:tr>
      <w:tr>
        <w:trPr/>
        <w:tc>
          <w:tcPr>
            <w:tcW w:w="157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2302021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Alexandre Levy Tentardini</w:t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Agente Comunitário de Saúde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 xml:space="preserve">Santa Rosa </w:t>
            </w:r>
            <w:r>
              <w:rPr>
                <w:color w:val="000000"/>
                <w:kern w:val="0"/>
                <w:sz w:val="22"/>
                <w:szCs w:val="22"/>
              </w:rPr>
              <w:t>–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Equipe I</w:t>
            </w:r>
          </w:p>
        </w:tc>
        <w:tc>
          <w:tcPr>
            <w:tcW w:w="231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Não reside na área de atuação desde 09/10/2024.</w:t>
            </w:r>
          </w:p>
        </w:tc>
      </w:tr>
      <w:tr>
        <w:trPr/>
        <w:tc>
          <w:tcPr>
            <w:tcW w:w="157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2278040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Flavio Jobim Cremonini</w:t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Agente Comunitário de Saúde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Prado VII</w:t>
            </w:r>
          </w:p>
        </w:tc>
        <w:tc>
          <w:tcPr>
            <w:tcW w:w="231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Não reside na área de atuação desde 09/10/2024.</w:t>
            </w:r>
          </w:p>
        </w:tc>
      </w:tr>
      <w:tr>
        <w:trPr/>
        <w:tc>
          <w:tcPr>
            <w:tcW w:w="157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2308774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Vilmar Junior Charopem Ramos</w:t>
            </w:r>
          </w:p>
        </w:tc>
        <w:tc>
          <w:tcPr>
            <w:tcW w:w="1996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Agente Comunitário de Saúde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 xml:space="preserve">Armour </w:t>
            </w:r>
            <w:r>
              <w:rPr>
                <w:color w:val="000000"/>
                <w:kern w:val="0"/>
                <w:sz w:val="22"/>
                <w:szCs w:val="22"/>
              </w:rPr>
              <w:t>–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Equipe I</w:t>
            </w:r>
          </w:p>
        </w:tc>
        <w:tc>
          <w:tcPr>
            <w:tcW w:w="2311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Não reside na área de atuação desde 09/10/2024.</w:t>
            </w:r>
          </w:p>
        </w:tc>
      </w:tr>
      <w:tr>
        <w:trPr/>
        <w:tc>
          <w:tcPr>
            <w:tcW w:w="157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2285618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Daniela Ferreira Marques Costa</w:t>
            </w:r>
          </w:p>
        </w:tc>
        <w:tc>
          <w:tcPr>
            <w:tcW w:w="1996" w:type="dxa"/>
            <w:tcBorders/>
            <w:shd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Agente Comunitário de Saúde</w:t>
            </w:r>
          </w:p>
        </w:tc>
        <w:tc>
          <w:tcPr>
            <w:tcW w:w="1664" w:type="dxa"/>
            <w:tcBorders/>
            <w:shd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Armour </w:t>
            </w:r>
            <w:r>
              <w:rPr>
                <w:color w:val="000000"/>
                <w:kern w:val="0"/>
                <w:sz w:val="22"/>
                <w:szCs w:val="22"/>
              </w:rPr>
              <w:t>–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 xml:space="preserve"> Equipe I</w:t>
            </w:r>
          </w:p>
        </w:tc>
        <w:tc>
          <w:tcPr>
            <w:tcW w:w="2311" w:type="dxa"/>
            <w:tcBorders/>
            <w:shd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Não reside na área de atuação desde 09/10/2024.</w:t>
            </w:r>
          </w:p>
        </w:tc>
      </w:tr>
      <w:tr>
        <w:trPr/>
        <w:tc>
          <w:tcPr>
            <w:tcW w:w="1574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2312662</w:t>
            </w:r>
          </w:p>
        </w:tc>
        <w:tc>
          <w:tcPr>
            <w:tcW w:w="2310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Willian Moreira dos Reis</w:t>
            </w:r>
          </w:p>
        </w:tc>
        <w:tc>
          <w:tcPr>
            <w:tcW w:w="199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Agente Comunitário de Saúde</w:t>
            </w:r>
          </w:p>
        </w:tc>
        <w:tc>
          <w:tcPr>
            <w:tcW w:w="16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  <w:t>Divisa II</w:t>
            </w:r>
          </w:p>
        </w:tc>
        <w:tc>
          <w:tcPr>
            <w:tcW w:w="231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hanging="0" w:left="0"/>
              <w:jc w:val="center"/>
              <w:rPr>
                <w:rFonts w:ascii="Arial" w:hAnsi="Arial" w:eastAsia="Arial" w:cs="Arial"/>
                <w:b w:val="false"/>
                <w:bCs w:val="false"/>
                <w:i w:val="false"/>
                <w:i w:val="false"/>
                <w:iCs w:val="false"/>
                <w:color w:themeColor="text1" w:val="000000"/>
                <w:position w:val="0"/>
                <w:sz w:val="22"/>
                <w:sz w:val="22"/>
                <w:szCs w:val="22"/>
                <w:vertAlign w:val="baseline"/>
                <w:lang w:val="pt-B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false"/>
                <w:bCs w:val="false"/>
                <w:i w:val="false"/>
                <w:iCs w:val="false"/>
                <w:color w:themeColor="text1" w:val="000000"/>
                <w:kern w:val="0"/>
                <w:position w:val="0"/>
                <w:sz w:val="22"/>
                <w:sz w:val="22"/>
                <w:szCs w:val="22"/>
                <w:vertAlign w:val="baseline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Não reside na área de atuação desde 09/10/2024.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rPr>
          <w:b w:val="false"/>
          <w:bCs w:val="false"/>
          <w:i w:val="false"/>
          <w:i w:val="false"/>
          <w:iCs w:val="false"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</w:pPr>
      <w:r>
        <w:rPr>
          <w:b w:val="false"/>
          <w:bCs w:val="false"/>
          <w:i w:val="false"/>
          <w:iCs w:val="false"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widowControl w:val="false"/>
        <w:spacing w:lineRule="auto" w:line="240"/>
        <w:ind w:hanging="0"/>
        <w:jc w:val="center"/>
        <w:rPr>
          <w:rFonts w:eastAsia="Arial"/>
          <w:sz w:val="22"/>
          <w:szCs w:val="22"/>
          <w:lang w:val="pt-PT"/>
        </w:rPr>
      </w:pPr>
      <w:r>
        <w:rPr>
          <w:rFonts w:eastAsia="Arial"/>
          <w:sz w:val="22"/>
          <w:szCs w:val="22"/>
          <w:lang w:val="pt-PT"/>
        </w:rPr>
        <w:t xml:space="preserve">COMISSÃO PARA ELABORAÇÃO DE PROCESSO SELETIVO PÚBLICO – Portaria n.º </w:t>
      </w:r>
      <w:r>
        <w:rPr>
          <w:rFonts w:eastAsia="Arial"/>
          <w:sz w:val="22"/>
          <w:szCs w:val="22"/>
          <w:lang w:val="pt-BR"/>
        </w:rPr>
        <w:t>893/2024</w:t>
      </w:r>
      <w:r>
        <w:rPr>
          <w:rFonts w:eastAsia="Arial"/>
          <w:sz w:val="22"/>
          <w:szCs w:val="22"/>
          <w:lang w:val="pt-PT"/>
        </w:rPr>
        <w:t>.</w:t>
      </w:r>
    </w:p>
    <w:p>
      <w:pPr>
        <w:pStyle w:val="Normal"/>
        <w:widowControl w:val="false"/>
        <w:suppressAutoHyphens w:val="true"/>
        <w:spacing w:lineRule="auto" w:line="276"/>
        <w:ind w:hanging="0"/>
        <w:jc w:val="left"/>
        <w:rPr>
          <w:rFonts w:eastAsia="Calibri"/>
          <w:sz w:val="10"/>
          <w:szCs w:val="10"/>
          <w:lang w:val="pt-PT" w:eastAsia="zh-CN"/>
        </w:rPr>
      </w:pPr>
      <w:r>
        <w:rPr>
          <w:rFonts w:eastAsia="Calibri"/>
          <w:sz w:val="10"/>
          <w:szCs w:val="10"/>
          <w:lang w:val="pt-PT" w:eastAsia="zh-CN"/>
        </w:rPr>
      </w:r>
    </w:p>
    <w:p>
      <w:pPr>
        <w:pStyle w:val="Normal"/>
        <w:widowControl w:val="false"/>
        <w:suppressAutoHyphens w:val="true"/>
        <w:spacing w:lineRule="auto" w:line="276"/>
        <w:ind w:hanging="0"/>
        <w:jc w:val="left"/>
        <w:rPr>
          <w:rFonts w:eastAsia="Calibri"/>
          <w:sz w:val="22"/>
          <w:szCs w:val="22"/>
          <w:lang w:val="pt-PT" w:eastAsia="zh-CN"/>
        </w:rPr>
      </w:pPr>
      <w:r>
        <w:rPr>
          <w:rFonts w:eastAsia="Calibri"/>
          <w:sz w:val="22"/>
          <w:szCs w:val="22"/>
          <w:lang w:val="pt-PT" w:eastAsia="zh-CN"/>
        </w:rPr>
        <w:t>Élvio de Deus Gulart, Presidente; Karina Dias Husein Abdullah, Membro; Elisângela de Menezes Furtado, Membro; Cassandra Berenice dos Santos Cunha, Membro; Fabiana Maria Trevisan Henicka, Membro</w:t>
      </w:r>
      <w:r>
        <w:rPr>
          <w:rFonts w:eastAsia="Calibri"/>
          <w:sz w:val="22"/>
          <w:szCs w:val="22"/>
          <w:lang w:val="pt-BR" w:eastAsia="zh-CN"/>
        </w:rPr>
        <w:t xml:space="preserve">; </w:t>
      </w:r>
      <w:r>
        <w:rPr>
          <w:color w:themeColor="text1" w:val="000000"/>
          <w:sz w:val="22"/>
          <w:szCs w:val="22"/>
          <w14:textFill>
            <w14:solidFill>
              <w14:schemeClr w14:val="tx1"/>
            </w14:solidFill>
          </w14:textFill>
        </w:rPr>
        <w:t>Patricia Friske Schwiderke</w:t>
      </w:r>
      <w:r>
        <w:rPr>
          <w:color w:themeColor="text1" w:val="000000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, Membro</w:t>
      </w:r>
      <w:r>
        <w:rPr>
          <w:rFonts w:eastAsia="Calibri"/>
          <w:sz w:val="22"/>
          <w:szCs w:val="22"/>
          <w:lang w:val="pt-PT" w:eastAsia="zh-CN"/>
        </w:rPr>
        <w:t>.</w:t>
      </w:r>
    </w:p>
    <w:p>
      <w:pPr>
        <w:pStyle w:val="Normal"/>
        <w:widowControl w:val="false"/>
        <w:suppressAutoHyphens w:val="true"/>
        <w:spacing w:lineRule="auto" w:line="276"/>
        <w:ind w:hanging="0"/>
        <w:jc w:val="left"/>
        <w:rPr>
          <w:rFonts w:eastAsia="Calibri"/>
          <w:sz w:val="14"/>
          <w:szCs w:val="14"/>
          <w:lang w:val="pt-PT" w:eastAsia="zh-CN"/>
        </w:rPr>
      </w:pPr>
      <w:r>
        <w:rPr>
          <w:rFonts w:eastAsia="Calibri"/>
          <w:sz w:val="14"/>
          <w:szCs w:val="14"/>
          <w:lang w:val="pt-PT" w:eastAsia="zh-CN"/>
        </w:rPr>
      </w:r>
    </w:p>
    <w:p>
      <w:pPr>
        <w:pStyle w:val="Normal"/>
        <w:widowControl w:val="false"/>
        <w:suppressAutoHyphens w:val="true"/>
        <w:spacing w:lineRule="auto" w:line="276"/>
        <w:ind w:hanging="0"/>
        <w:jc w:val="left"/>
        <w:rPr>
          <w:rFonts w:eastAsia="Calibri"/>
          <w:sz w:val="22"/>
          <w:szCs w:val="22"/>
          <w:lang w:val="pt-PT" w:eastAsia="zh-CN"/>
        </w:rPr>
      </w:pPr>
      <w:r>
        <w:rPr>
          <w:rFonts w:eastAsia="Calibri"/>
          <w:sz w:val="22"/>
          <w:szCs w:val="22"/>
          <w:lang w:val="pt-PT" w:eastAsia="zh-CN"/>
        </w:rPr>
        <w:t>Rafael Leal Perez, Secretário: ______________________________________________________</w:t>
      </w:r>
    </w:p>
    <w:p>
      <w:pPr>
        <w:pStyle w:val="Normal"/>
        <w:numPr>
          <w:ilvl w:val="0"/>
          <w:numId w:val="0"/>
        </w:numPr>
        <w:ind w:hanging="0" w:left="0"/>
        <w:rPr>
          <w:b w:val="false"/>
          <w:bCs w:val="false"/>
          <w:i w:val="false"/>
          <w:i w:val="false"/>
          <w:iCs w:val="false"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</w:pPr>
      <w:r>
        <w:rPr>
          <w:b w:val="false"/>
          <w:bCs w:val="false"/>
          <w:i w:val="false"/>
          <w:iCs w:val="false"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 w:left="0"/>
        <w:rPr>
          <w:sz w:val="22"/>
          <w:szCs w:val="22"/>
          <w:lang w:val="pt-BR"/>
        </w:rPr>
      </w:pPr>
      <w:r>
        <w:rPr>
          <w:b w:val="false"/>
          <w:bCs w:val="false"/>
          <w:i w:val="false"/>
          <w:iCs w:val="false"/>
          <w:color w:themeColor="text1" w:val="000000"/>
          <w:sz w:val="22"/>
          <w:szCs w:val="22"/>
          <w:lang w:val="pt-BR" w:eastAsia="zh-CN"/>
          <w14:textFill>
            <w14:solidFill>
              <w14:schemeClr w14:val="tx1"/>
            </w14:solidFill>
          </w14:textFill>
        </w:rPr>
        <w:t xml:space="preserve">SECRETARIA MUNICIPAL DE ADMINISTRAÇÃO </w:t>
      </w:r>
      <w:r>
        <w:rPr>
          <w:rFonts w:eastAsia="Arial"/>
          <w:sz w:val="22"/>
          <w:szCs w:val="22"/>
          <w:lang w:val="pt-PT"/>
        </w:rPr>
        <w:t>–</w:t>
      </w:r>
      <w:r>
        <w:rPr>
          <w:sz w:val="22"/>
          <w:szCs w:val="22"/>
          <w:lang w:val="pt-BR"/>
        </w:rPr>
        <w:t xml:space="preserve"> Diretoria de Serviços de Pessoal</w:t>
      </w:r>
    </w:p>
    <w:p>
      <w:pPr>
        <w:pStyle w:val="Normal"/>
        <w:numPr>
          <w:ilvl w:val="0"/>
          <w:numId w:val="0"/>
        </w:numPr>
        <w:spacing w:lineRule="auto" w:line="240"/>
        <w:ind w:hanging="0" w:left="0"/>
        <w:rPr>
          <w:sz w:val="14"/>
          <w:szCs w:val="14"/>
          <w:lang w:val="pt-BR"/>
        </w:rPr>
      </w:pPr>
      <w:r>
        <w:rPr>
          <w:sz w:val="14"/>
          <w:szCs w:val="14"/>
          <w:lang w:val="pt-BR"/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 w:left="0"/>
        <w:rPr>
          <w:sz w:val="22"/>
          <w:szCs w:val="22"/>
          <w:lang w:val="pt-BR" w:eastAsia="zh-CN"/>
        </w:rPr>
      </w:pPr>
      <w:r>
        <w:rPr>
          <w:sz w:val="22"/>
          <w:szCs w:val="22"/>
          <w:lang w:val="pt-BR"/>
        </w:rPr>
        <w:t>Maria Umbelina Drekener dos Santos, Secretária: ______________________________________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3" w:gutter="0" w:header="426" w:top="2467" w:footer="567" w:bottom="128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firstLine="8505"/>
      <w:jc w:val="lef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Página </w:t>
    </w:r>
    <w:r>
      <w:rPr>
        <w:color w:val="000000"/>
        <w:sz w:val="22"/>
        <w:szCs w:val="22"/>
      </w:rPr>
      <w:fldChar w:fldCharType="begin"/>
    </w:r>
    <w:r>
      <w:rPr>
        <w:sz w:val="22"/>
        <w:szCs w:val="22"/>
        <w:color w:val="000000"/>
      </w:rPr>
      <w:instrText xml:space="preserve"> PAGE </w:instrText>
    </w:r>
    <w:r>
      <w:rPr>
        <w:sz w:val="22"/>
        <w:szCs w:val="22"/>
        <w:color w:val="000000"/>
      </w:rPr>
      <w:fldChar w:fldCharType="separate"/>
    </w:r>
    <w:r>
      <w:rPr>
        <w:sz w:val="22"/>
        <w:szCs w:val="22"/>
        <w:color w:val="000000"/>
      </w:rPr>
      <w:t>2</w:t>
    </w:r>
    <w:r>
      <w:rPr>
        <w:sz w:val="22"/>
        <w:szCs w:val="22"/>
        <w:color w:val="000000"/>
      </w:rPr>
      <w:fldChar w:fldCharType="end"/>
    </w:r>
    <w:r>
      <w:rPr>
        <w:color w:val="000000"/>
        <w:sz w:val="22"/>
        <w:szCs w:val="22"/>
      </w:rPr>
      <w:t>/</w:t>
    </w:r>
    <w:r>
      <w:rPr>
        <w:color w:val="000000"/>
        <w:sz w:val="22"/>
        <w:szCs w:val="22"/>
      </w:rPr>
      <w:fldChar w:fldCharType="begin"/>
    </w:r>
    <w:r>
      <w:rPr>
        <w:sz w:val="22"/>
        <w:szCs w:val="22"/>
        <w:color w:val="000000"/>
      </w:rPr>
      <w:instrText xml:space="preserve"> NUMPAGES </w:instrText>
    </w:r>
    <w:r>
      <w:rPr>
        <w:sz w:val="22"/>
        <w:szCs w:val="22"/>
        <w:color w:val="000000"/>
      </w:rPr>
      <w:fldChar w:fldCharType="separate"/>
    </w:r>
    <w:r>
      <w:rPr>
        <w:sz w:val="22"/>
        <w:szCs w:val="22"/>
        <w:color w:val="000000"/>
      </w:rPr>
      <w:t>2</w:t>
    </w:r>
    <w:r>
      <w:rPr>
        <w:sz w:val="22"/>
        <w:szCs w:val="22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2675890</wp:posOffset>
          </wp:positionH>
          <wp:positionV relativeFrom="paragraph">
            <wp:posOffset>19685</wp:posOffset>
          </wp:positionV>
          <wp:extent cx="768350" cy="719455"/>
          <wp:effectExtent l="0" t="0" r="0" b="0"/>
          <wp:wrapNone/>
          <wp:docPr id="1" name="image2.jpg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  <w:p>
    <w:pPr>
      <w:pStyle w:val="Normal"/>
      <w:spacing w:lineRule="auto" w:line="276"/>
      <w:ind w:hanging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Estado do Rio Grande do Sul</w:t>
    </w:r>
  </w:p>
  <w:p>
    <w:pPr>
      <w:pStyle w:val="Normal"/>
      <w:spacing w:lineRule="auto" w:line="276"/>
      <w:ind w:hanging="0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Prefeitura Municipal de Sant’Ana do Livramento</w:t>
    </w:r>
  </w:p>
  <w:p>
    <w:pPr>
      <w:pStyle w:val="Normal"/>
      <w:spacing w:lineRule="auto" w:line="276"/>
      <w:ind w:hanging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Comissão para Elaboração de Processo Seletivo Público – Portaria </w:t>
    </w:r>
    <w:r>
      <w:rPr>
        <w:color w:val="000000"/>
        <w:sz w:val="22"/>
        <w:szCs w:val="22"/>
        <w:lang w:val="pt-BR"/>
      </w:rPr>
      <w:t>N</w:t>
    </w:r>
    <w:r>
      <w:rPr>
        <w:color w:val="000000"/>
        <w:sz w:val="22"/>
        <w:szCs w:val="22"/>
      </w:rPr>
      <w:t xml:space="preserve">º </w:t>
    </w:r>
    <w:r>
      <w:rPr>
        <w:color w:val="000000"/>
        <w:sz w:val="22"/>
        <w:szCs w:val="22"/>
        <w:lang w:val="pt-BR"/>
      </w:rPr>
      <w:t>893</w:t>
    </w:r>
    <w:r>
      <w:rPr>
        <w:color w:val="000000"/>
        <w:sz w:val="22"/>
        <w:szCs w:val="22"/>
      </w:rPr>
      <w:t>/202</w:t>
    </w:r>
    <w:r>
      <w:rPr>
        <w:color w:val="000000"/>
        <w:sz w:val="22"/>
        <w:szCs w:val="22"/>
        <w:lang w:val="pt-BR"/>
      </w:rPr>
      <w:t>4</w:t>
    </w:r>
    <w:r>
      <w:rPr>
        <w:color w:val="000000"/>
        <w:sz w:val="22"/>
        <w:szCs w:val="22"/>
      </w:rPr>
      <w:t>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Placeholder Text" w:uiPriority="99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360" w:before="0" w:after="0"/>
      <w:ind w:firstLine="1134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Apple-converted-space" w:customStyle="1">
    <w:name w:val="apple-converted-space"/>
    <w:basedOn w:val="DefaultParagraphFont"/>
    <w:uiPriority w:val="0"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  <w:ind w:hanging="0"/>
      <w:jc w:val="left"/>
    </w:pPr>
    <w:rPr>
      <w:rFonts w:ascii="Calibri" w:hAnsi="Calibri" w:cs="" w:asciiTheme="minorHAnsi" w:cstheme="minorBidi" w:hAnsiTheme="minorHAnsi"/>
      <w:sz w:val="22"/>
      <w:szCs w:val="22"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/>
      <w:ind w:hanging="0"/>
      <w:jc w:val="left"/>
    </w:pPr>
    <w:rPr>
      <w:rFonts w:ascii="Calibri" w:hAnsi="Calibri" w:cs="" w:asciiTheme="minorHAnsi" w:cstheme="minorBidi" w:hAnsiTheme="minorHAnsi"/>
      <w:sz w:val="22"/>
      <w:szCs w:val="22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/>
      <w:ind w:hanging="0"/>
      <w:jc w:val="left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uiPriority w:val="0"/>
    <w:qFormat/>
    <w:pPr>
      <w:widowControl/>
      <w:bidi w:val="0"/>
      <w:spacing w:lineRule="auto" w:line="360" w:before="0" w:after="0"/>
      <w:ind w:firstLine="1134"/>
      <w:jc w:val="both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"/>
    <w:basedOn w:val="9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Tabela Simples 11"/>
    <w:basedOn w:val="9"/>
    <w:uiPriority w:val="41"/>
    <w:qFormat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F1F1" w:themeFill="background1" w:themeFillShade="f2"/>
      </w:tcPr>
    </w:tblStylePr>
    <w:tblStylePr w:type="band1Horz">
      <w:tblPr/>
      <w:tcPr>
        <w:shd w:val="clear" w:color="auto" w:fill="F1F1F1" w:themeFill="background1" w:themeFillShade="f2"/>
      </w:tcPr>
    </w:tblStylePr>
  </w:style>
  <w:style w:type="table" w:customStyle="1" w:styleId="28">
    <w:name w:val="Grid Table 5 Dark Accent 1"/>
    <w:basedOn w:val="9"/>
    <w:uiPriority w:val="50"/>
    <w:qFormat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30">
    <w:name w:val="Grid Table 5 Dark Accent 3"/>
    <w:basedOn w:val="9"/>
    <w:uiPriority w:val="50"/>
    <w:qFormat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CAan6Lm6Vp2cF2jZge0v2lftQSg==">AMUW2mWh3YZDYA/gHD/a9ME4k30lv8pu3NXAW3AsgR/gDj/XuSylU7pxLXpMM5sYm9CrBaaB/Sqigd2fjCs9uMWAAfMFE5pwjnoNpKUWoQS5vxbCHtlzhoY=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LibreOffice/7.6.4.1$Windows_X86_64 LibreOffice_project/e19e193f88cd6c0525a17fb7a176ed8e6a3e2aa1</Application>
  <AppVersion>15.0000</AppVersion>
  <DocSecurity>0</DocSecurity>
  <Pages>2</Pages>
  <Words>347</Words>
  <Characters>2082</Characters>
  <CharactersWithSpaces>2387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2017-04-13T13:41:00Z</dcterms:created>
  <dc:creator>rafaelperez</dc:creator>
  <dc:description/>
  <dc:language>pt-BR</dc:language>
  <cp:lastModifiedBy/>
  <cp:lastPrinted>2024-07-17T11:58:00Z</cp:lastPrinted>
  <dcterms:modified xsi:type="dcterms:W3CDTF">2025-04-25T12:13:12Z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42D247F9308648F2BD6A9B49C4EC1405_12</vt:lpwstr>
  </property>
  <property fmtid="{D5CDD505-2E9C-101B-9397-08002B2CF9AE}" pid="4" name="KSOProductBuildVer">
    <vt:lpwstr>1046-12.2.0.20795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